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40" w:lineRule="exact"/>
      </w:pPr>
      <w:bookmarkStart w:id="0" w:name="_GoBack"/>
      <w:bookmarkEnd w:id="0"/>
    </w:p>
    <w:p>
      <w:pPr>
        <w:spacing w:line="540" w:lineRule="exact"/>
      </w:pPr>
    </w:p>
    <w:p>
      <w:pPr>
        <w:spacing w:line="600" w:lineRule="exact"/>
        <w:jc w:val="right"/>
        <w:rPr>
          <w:rFonts w:ascii="仿宋" w:hAnsi="仿宋" w:eastAsia="仿宋"/>
        </w:rPr>
      </w:pPr>
      <w:r>
        <w:rPr>
          <w:rFonts w:hint="eastAsia" w:ascii="仿宋" w:hAnsi="仿宋" w:eastAsia="仿宋"/>
        </w:rPr>
        <w:t>鄂教高函〔2015〕23号</w:t>
      </w:r>
    </w:p>
    <w:p>
      <w:pPr>
        <w:spacing w:line="600" w:lineRule="exact"/>
        <w:rPr>
          <w:rFonts w:ascii="华文中宋" w:hAnsi="华文中宋" w:eastAsia="华文中宋"/>
          <w:b/>
          <w:sz w:val="44"/>
          <w:szCs w:val="44"/>
        </w:rPr>
      </w:pPr>
    </w:p>
    <w:p>
      <w:pPr>
        <w:spacing w:line="60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关于举办首届中国“互联网+”大学生</w:t>
      </w:r>
    </w:p>
    <w:p>
      <w:pPr>
        <w:spacing w:line="60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创新创业大赛湖北赛区省级复赛的通知</w:t>
      </w:r>
    </w:p>
    <w:p>
      <w:pPr>
        <w:spacing w:line="600" w:lineRule="exact"/>
        <w:rPr>
          <w:rFonts w:ascii="仿宋_GB2312"/>
          <w:color w:val="000000"/>
          <w:szCs w:val="32"/>
        </w:rPr>
      </w:pPr>
    </w:p>
    <w:p>
      <w:pPr>
        <w:spacing w:line="600" w:lineRule="exact"/>
        <w:rPr>
          <w:rFonts w:ascii="仿宋_GB2312"/>
          <w:color w:val="000000"/>
          <w:szCs w:val="32"/>
        </w:rPr>
      </w:pPr>
      <w:r>
        <w:rPr>
          <w:rFonts w:hint="eastAsia" w:ascii="仿宋_GB2312"/>
          <w:color w:val="000000"/>
          <w:szCs w:val="32"/>
        </w:rPr>
        <w:t>各高等学校：</w:t>
      </w:r>
    </w:p>
    <w:p>
      <w:pPr>
        <w:spacing w:line="600" w:lineRule="exact"/>
        <w:ind w:firstLine="632" w:firstLineChars="200"/>
        <w:rPr>
          <w:rFonts w:ascii="仿宋_GB2312"/>
          <w:color w:val="000000"/>
          <w:szCs w:val="32"/>
        </w:rPr>
      </w:pPr>
      <w:r>
        <w:rPr>
          <w:rFonts w:hint="eastAsia" w:ascii="仿宋_GB2312"/>
          <w:color w:val="000000"/>
          <w:szCs w:val="32"/>
        </w:rPr>
        <w:t>根据《教育部关于举办首届中国“互联网+”大学生创新创业大赛的通知》（教高函[2015]4号）精神，现将湖北赛区省级复赛有关事项通知如下：</w:t>
      </w:r>
    </w:p>
    <w:p>
      <w:pPr>
        <w:spacing w:line="600" w:lineRule="exact"/>
        <w:ind w:firstLine="632" w:firstLineChars="200"/>
        <w:rPr>
          <w:rFonts w:ascii="黑体" w:hAnsi="黑体" w:eastAsia="黑体"/>
          <w:color w:val="000000"/>
          <w:szCs w:val="32"/>
        </w:rPr>
      </w:pPr>
      <w:r>
        <w:rPr>
          <w:rFonts w:hint="eastAsia" w:ascii="黑体" w:hAnsi="黑体" w:eastAsia="黑体"/>
          <w:color w:val="000000"/>
          <w:szCs w:val="32"/>
        </w:rPr>
        <w:t>一、比赛主题</w:t>
      </w:r>
    </w:p>
    <w:p>
      <w:pPr>
        <w:spacing w:line="600" w:lineRule="exact"/>
        <w:ind w:firstLine="632" w:firstLineChars="200"/>
        <w:rPr>
          <w:rFonts w:ascii="仿宋_GB2312"/>
          <w:color w:val="000000"/>
          <w:szCs w:val="32"/>
        </w:rPr>
      </w:pPr>
      <w:r>
        <w:rPr>
          <w:rFonts w:hint="eastAsia" w:ascii="仿宋_GB2312"/>
          <w:color w:val="000000"/>
          <w:szCs w:val="32"/>
        </w:rPr>
        <w:t>“互联网+”成就梦想  创新创业开辟未来</w:t>
      </w:r>
    </w:p>
    <w:p>
      <w:pPr>
        <w:spacing w:line="600" w:lineRule="exact"/>
        <w:ind w:firstLine="632" w:firstLineChars="200"/>
        <w:rPr>
          <w:rFonts w:ascii="黑体" w:hAnsi="黑体" w:eastAsia="黑体"/>
          <w:color w:val="000000"/>
          <w:szCs w:val="32"/>
        </w:rPr>
      </w:pPr>
      <w:r>
        <w:rPr>
          <w:rFonts w:hint="eastAsia" w:ascii="黑体" w:hAnsi="黑体" w:eastAsia="黑体"/>
          <w:color w:val="000000"/>
          <w:szCs w:val="32"/>
        </w:rPr>
        <w:t>二、比赛目的与任务</w:t>
      </w:r>
    </w:p>
    <w:p>
      <w:pPr>
        <w:spacing w:line="600" w:lineRule="exact"/>
        <w:ind w:firstLine="632" w:firstLineChars="200"/>
        <w:rPr>
          <w:rFonts w:ascii="仿宋_GB2312"/>
          <w:color w:val="000000"/>
          <w:szCs w:val="32"/>
        </w:rPr>
      </w:pPr>
      <w:r>
        <w:rPr>
          <w:rFonts w:hint="eastAsia" w:ascii="仿宋_GB2312"/>
          <w:color w:val="000000"/>
          <w:szCs w:val="32"/>
        </w:rPr>
        <w:t xml:space="preserve">旨在深化高等教育综合改革，激发大学生的创造力，培养造就“大众创业、万众创新”的生力军；推动赛事成果转化，促进“互联网+”新业态形成，服务经济提质增效升级；以创新引领创业、创业带动就业，推动高校毕业生更高质量创业就业。 </w:t>
      </w:r>
    </w:p>
    <w:p>
      <w:pPr>
        <w:spacing w:line="600" w:lineRule="exact"/>
        <w:ind w:firstLine="632" w:firstLineChars="200"/>
        <w:rPr>
          <w:rFonts w:ascii="仿宋_GB2312"/>
          <w:color w:val="000000"/>
          <w:szCs w:val="32"/>
        </w:rPr>
      </w:pPr>
      <w:r>
        <w:rPr>
          <w:rFonts w:hint="eastAsia" w:ascii="仿宋_GB2312"/>
          <w:color w:val="000000"/>
          <w:szCs w:val="32"/>
        </w:rPr>
        <w:t>重在把大赛作为深化创新创业教育改革的重要抓手，引导全省高校主动服务湖北地方经济发展，创新人才培养机制，切实提高高校学生的创新精神、创业意识和创新创业能力。</w:t>
      </w:r>
    </w:p>
    <w:p>
      <w:pPr>
        <w:spacing w:line="600" w:lineRule="exact"/>
        <w:ind w:firstLine="632" w:firstLineChars="200"/>
        <w:rPr>
          <w:rFonts w:ascii="黑体" w:hAnsi="黑体" w:eastAsia="黑体"/>
          <w:color w:val="000000"/>
          <w:szCs w:val="32"/>
        </w:rPr>
      </w:pPr>
      <w:r>
        <w:rPr>
          <w:rFonts w:hint="eastAsia" w:ascii="黑体" w:hAnsi="黑体" w:eastAsia="黑体"/>
          <w:color w:val="000000"/>
          <w:szCs w:val="32"/>
        </w:rPr>
        <w:t>三、组织机构</w:t>
      </w:r>
    </w:p>
    <w:p>
      <w:pPr>
        <w:spacing w:line="600" w:lineRule="exact"/>
        <w:ind w:firstLine="634" w:firstLineChars="200"/>
        <w:rPr>
          <w:rFonts w:ascii="仿宋_GB2312"/>
          <w:color w:val="000000"/>
          <w:szCs w:val="32"/>
        </w:rPr>
      </w:pPr>
      <w:r>
        <w:rPr>
          <w:rFonts w:hint="eastAsia" w:ascii="楷体_GB2312" w:eastAsia="楷体_GB2312"/>
          <w:b/>
          <w:color w:val="000000"/>
          <w:szCs w:val="32"/>
        </w:rPr>
        <w:t>（一）主办单位：</w:t>
      </w:r>
      <w:r>
        <w:rPr>
          <w:rFonts w:hint="eastAsia" w:ascii="仿宋_GB2312"/>
          <w:color w:val="000000"/>
          <w:szCs w:val="32"/>
        </w:rPr>
        <w:t>省教育厅、经信委、科技厅、人社厅、团省委共同主办</w:t>
      </w:r>
    </w:p>
    <w:p>
      <w:pPr>
        <w:spacing w:line="600" w:lineRule="exact"/>
        <w:ind w:firstLine="634" w:firstLineChars="200"/>
        <w:rPr>
          <w:rFonts w:ascii="仿宋_GB2312"/>
          <w:color w:val="000000"/>
          <w:szCs w:val="32"/>
        </w:rPr>
      </w:pPr>
      <w:r>
        <w:rPr>
          <w:rFonts w:hint="eastAsia" w:ascii="楷体_GB2312" w:eastAsia="楷体_GB2312"/>
          <w:b/>
          <w:color w:val="000000"/>
          <w:szCs w:val="32"/>
        </w:rPr>
        <w:t>（二）承办单位：</w:t>
      </w:r>
      <w:r>
        <w:rPr>
          <w:rFonts w:hint="eastAsia" w:ascii="仿宋_GB2312"/>
          <w:color w:val="000000"/>
          <w:szCs w:val="32"/>
        </w:rPr>
        <w:t>湖北工业大学</w:t>
      </w:r>
    </w:p>
    <w:p>
      <w:pPr>
        <w:spacing w:line="600" w:lineRule="exact"/>
        <w:ind w:firstLine="634" w:firstLineChars="200"/>
        <w:rPr>
          <w:rFonts w:ascii="仿宋_GB2312"/>
          <w:color w:val="000000"/>
          <w:szCs w:val="32"/>
        </w:rPr>
      </w:pPr>
      <w:r>
        <w:rPr>
          <w:rFonts w:hint="eastAsia" w:ascii="楷体_GB2312" w:eastAsia="楷体_GB2312"/>
          <w:b/>
          <w:color w:val="000000"/>
          <w:szCs w:val="32"/>
        </w:rPr>
        <w:t>（三）支持单位：</w:t>
      </w:r>
      <w:r>
        <w:rPr>
          <w:rFonts w:hint="eastAsia" w:ascii="仿宋_GB2312"/>
          <w:color w:val="000000"/>
          <w:szCs w:val="32"/>
        </w:rPr>
        <w:t>武汉光谷联合产权交易所、湖北省高新技术发展促进中心</w:t>
      </w:r>
    </w:p>
    <w:p>
      <w:pPr>
        <w:spacing w:line="600" w:lineRule="exact"/>
        <w:ind w:firstLine="634" w:firstLineChars="200"/>
        <w:rPr>
          <w:rFonts w:ascii="仿宋_GB2312"/>
          <w:color w:val="000000"/>
          <w:szCs w:val="32"/>
        </w:rPr>
      </w:pPr>
      <w:r>
        <w:rPr>
          <w:rFonts w:hint="eastAsia" w:ascii="楷体_GB2312" w:eastAsia="楷体_GB2312"/>
          <w:b/>
          <w:color w:val="000000"/>
          <w:szCs w:val="32"/>
        </w:rPr>
        <w:t>（四）组委会：</w:t>
      </w:r>
      <w:r>
        <w:rPr>
          <w:rFonts w:hint="eastAsia" w:ascii="仿宋_GB2312"/>
          <w:color w:val="000000"/>
          <w:szCs w:val="32"/>
        </w:rPr>
        <w:t>大赛设立组委会，邀请省领导任组委会主任，省教育厅厅长刘传铁任副主任，省教育厅、经信委、科技厅、人社厅、团省委等部门负责人、武汉大学、华中科技大学、湖北工业大学校领导为成员，负责大赛的组织领导工作。</w:t>
      </w:r>
    </w:p>
    <w:p>
      <w:pPr>
        <w:spacing w:line="600" w:lineRule="exact"/>
        <w:ind w:firstLine="632" w:firstLineChars="200"/>
        <w:rPr>
          <w:rFonts w:ascii="仿宋_GB2312"/>
          <w:color w:val="000000"/>
          <w:szCs w:val="32"/>
        </w:rPr>
      </w:pPr>
      <w:r>
        <w:rPr>
          <w:rFonts w:hint="eastAsia" w:ascii="仿宋_GB2312"/>
          <w:color w:val="000000"/>
          <w:szCs w:val="32"/>
        </w:rPr>
        <w:t>组委会下设办公室，办公室主任由省教育厅副厅长欧阳建平兼任，成员由省教育厅、湖北工业大学有关处室负责人组成。</w:t>
      </w:r>
    </w:p>
    <w:p>
      <w:pPr>
        <w:spacing w:line="600" w:lineRule="exact"/>
        <w:ind w:firstLine="634" w:firstLineChars="200"/>
        <w:rPr>
          <w:rFonts w:ascii="仿宋_GB2312"/>
          <w:color w:val="000000"/>
          <w:szCs w:val="32"/>
        </w:rPr>
      </w:pPr>
      <w:r>
        <w:rPr>
          <w:rFonts w:hint="eastAsia" w:ascii="楷体_GB2312" w:eastAsia="楷体_GB2312"/>
          <w:b/>
          <w:color w:val="000000"/>
          <w:szCs w:val="32"/>
        </w:rPr>
        <w:t>（五）专家委员会：</w:t>
      </w:r>
      <w:r>
        <w:rPr>
          <w:rFonts w:hint="eastAsia" w:ascii="仿宋_GB2312"/>
          <w:color w:val="000000"/>
          <w:szCs w:val="32"/>
        </w:rPr>
        <w:t>大赛设立专家委员会，由行业企业、创投风投机构、大学科技园、高校和科研院所专家组成，负责参赛项目的评审工作。</w:t>
      </w:r>
    </w:p>
    <w:p>
      <w:pPr>
        <w:spacing w:line="600" w:lineRule="exact"/>
        <w:ind w:firstLine="632" w:firstLineChars="200"/>
        <w:rPr>
          <w:rFonts w:ascii="黑体" w:hAnsi="黑体" w:eastAsia="黑体"/>
          <w:color w:val="000000"/>
          <w:szCs w:val="32"/>
        </w:rPr>
      </w:pPr>
      <w:r>
        <w:rPr>
          <w:rFonts w:hint="eastAsia" w:ascii="黑体" w:hAnsi="黑体" w:eastAsia="黑体"/>
          <w:color w:val="000000"/>
          <w:szCs w:val="32"/>
        </w:rPr>
        <w:t>四、参赛项目及要求</w:t>
      </w:r>
    </w:p>
    <w:p>
      <w:pPr>
        <w:spacing w:line="600" w:lineRule="exact"/>
        <w:ind w:firstLine="632" w:firstLineChars="200"/>
        <w:rPr>
          <w:rFonts w:ascii="仿宋_GB2312"/>
          <w:color w:val="000000"/>
          <w:szCs w:val="32"/>
        </w:rPr>
      </w:pPr>
      <w:r>
        <w:rPr>
          <w:rFonts w:hint="eastAsia" w:ascii="仿宋_GB2312"/>
          <w:color w:val="000000"/>
          <w:szCs w:val="32"/>
        </w:rPr>
        <w:t>参赛项目要能够将移动互联网、云计算、大数据、物联网等新一代信息技术与行业产业紧密结合，培育产生基于互联网的新产品、新服务、新业态、新模式，以及推动互联网与教育、医疗、社区等深度融合的公共服务创新。主要包括以下类型：</w:t>
      </w:r>
    </w:p>
    <w:p>
      <w:pPr>
        <w:spacing w:line="600" w:lineRule="exact"/>
        <w:ind w:firstLine="634" w:firstLineChars="200"/>
        <w:rPr>
          <w:rFonts w:ascii="仿宋_GB2312"/>
          <w:color w:val="000000"/>
          <w:szCs w:val="32"/>
        </w:rPr>
      </w:pPr>
      <w:r>
        <w:rPr>
          <w:rFonts w:hint="eastAsia" w:ascii="楷体_GB2312" w:eastAsia="楷体_GB2312"/>
          <w:b/>
          <w:color w:val="000000"/>
          <w:szCs w:val="32"/>
        </w:rPr>
        <w:t>1.“互联网+”传统产业：</w:t>
      </w:r>
      <w:r>
        <w:rPr>
          <w:rFonts w:hint="eastAsia" w:ascii="仿宋_GB2312"/>
          <w:color w:val="000000"/>
          <w:szCs w:val="32"/>
        </w:rPr>
        <w:t>新一代信息技术在传统产业（含一二三产业）领域应用的创新创业项目；</w:t>
      </w:r>
    </w:p>
    <w:p>
      <w:pPr>
        <w:spacing w:line="600" w:lineRule="exact"/>
        <w:ind w:firstLine="634" w:firstLineChars="200"/>
        <w:rPr>
          <w:rFonts w:ascii="仿宋_GB2312"/>
          <w:color w:val="000000"/>
          <w:szCs w:val="32"/>
        </w:rPr>
      </w:pPr>
      <w:r>
        <w:rPr>
          <w:rFonts w:hint="eastAsia" w:ascii="楷体_GB2312" w:eastAsia="楷体_GB2312"/>
          <w:b/>
          <w:color w:val="000000"/>
          <w:szCs w:val="32"/>
        </w:rPr>
        <w:t>2.“互联网+”新业态：</w:t>
      </w:r>
      <w:r>
        <w:rPr>
          <w:rFonts w:hint="eastAsia" w:ascii="仿宋_GB2312"/>
          <w:color w:val="000000"/>
          <w:szCs w:val="32"/>
        </w:rPr>
        <w:t>基于互联网的新产品、新模式、新业态创新创业项目，优先鼓励人工智能产业、智能汽车、智能家居、可穿戴设备、互联网金融、线上线下互动的新兴消费、大规模个性定制等融合型新产品、新模式；</w:t>
      </w:r>
    </w:p>
    <w:p>
      <w:pPr>
        <w:spacing w:line="600" w:lineRule="exact"/>
        <w:ind w:firstLine="634" w:firstLineChars="200"/>
        <w:rPr>
          <w:rFonts w:ascii="仿宋_GB2312"/>
          <w:color w:val="000000"/>
          <w:szCs w:val="32"/>
        </w:rPr>
      </w:pPr>
      <w:r>
        <w:rPr>
          <w:rFonts w:hint="eastAsia" w:ascii="楷体_GB2312" w:eastAsia="楷体_GB2312"/>
          <w:b/>
          <w:color w:val="000000"/>
          <w:szCs w:val="32"/>
        </w:rPr>
        <w:t>3.“互联网+”公共服务：</w:t>
      </w:r>
      <w:r>
        <w:rPr>
          <w:rFonts w:hint="eastAsia" w:ascii="仿宋_GB2312"/>
          <w:color w:val="000000"/>
          <w:szCs w:val="32"/>
        </w:rPr>
        <w:t>互联网与教育、医疗、社区等结合的创新创业项目；</w:t>
      </w:r>
    </w:p>
    <w:p>
      <w:pPr>
        <w:spacing w:line="600" w:lineRule="exact"/>
        <w:ind w:firstLine="634" w:firstLineChars="200"/>
        <w:rPr>
          <w:rFonts w:ascii="仿宋_GB2312"/>
          <w:color w:val="000000"/>
          <w:szCs w:val="32"/>
        </w:rPr>
      </w:pPr>
      <w:r>
        <w:rPr>
          <w:rFonts w:hint="eastAsia" w:ascii="楷体_GB2312" w:eastAsia="楷体_GB2312"/>
          <w:b/>
          <w:color w:val="000000"/>
          <w:szCs w:val="32"/>
        </w:rPr>
        <w:t>4.“互联网+”技术支撑平台：</w:t>
      </w:r>
      <w:r>
        <w:rPr>
          <w:rFonts w:hint="eastAsia" w:ascii="仿宋_GB2312"/>
          <w:color w:val="000000"/>
          <w:szCs w:val="32"/>
        </w:rPr>
        <w:t>互联网、云计算、大数据、物联网等新一代信息技术创新创业项目。</w:t>
      </w:r>
    </w:p>
    <w:p>
      <w:pPr>
        <w:spacing w:line="600" w:lineRule="exact"/>
        <w:ind w:firstLine="632" w:firstLineChars="200"/>
        <w:rPr>
          <w:rFonts w:ascii="仿宋_GB2312"/>
          <w:color w:val="000000"/>
          <w:szCs w:val="32"/>
        </w:rPr>
      </w:pPr>
      <w:r>
        <w:rPr>
          <w:rFonts w:hint="eastAsia" w:ascii="仿宋_GB2312"/>
          <w:color w:val="000000"/>
          <w:szCs w:val="32"/>
        </w:rPr>
        <w:t>参赛项目内容须健康、合法，无任何不良信息。参赛项目涉及发明创造、专利技术、资源等，必须拥有清晰合法的知识产权或物权，报名时需提交完整的具有法律效力的所有人书面授权许可书、项目鉴定证书、专利证书等。抄袭、盗用、提供虚假材料或违反相关法律法规的，一经发现即刻丧失参赛资格并自负一切法律责任。对于已注册运营的项目，在报名时需提交单位概况、法定代表人情况、组织机构代码复印件等相关证明材料。</w:t>
      </w:r>
    </w:p>
    <w:p>
      <w:pPr>
        <w:spacing w:line="600" w:lineRule="exact"/>
        <w:ind w:firstLine="632" w:firstLineChars="200"/>
        <w:rPr>
          <w:rFonts w:ascii="黑体" w:hAnsi="黑体" w:eastAsia="黑体"/>
          <w:color w:val="000000"/>
          <w:szCs w:val="32"/>
        </w:rPr>
      </w:pPr>
      <w:r>
        <w:rPr>
          <w:rFonts w:hint="eastAsia" w:ascii="黑体" w:hAnsi="黑体" w:eastAsia="黑体"/>
          <w:color w:val="000000"/>
          <w:szCs w:val="32"/>
        </w:rPr>
        <w:t>五、参赛对象</w:t>
      </w:r>
    </w:p>
    <w:p>
      <w:pPr>
        <w:spacing w:line="600" w:lineRule="exact"/>
        <w:ind w:firstLine="632" w:firstLineChars="200"/>
        <w:rPr>
          <w:rFonts w:ascii="仿宋_GB2312"/>
          <w:color w:val="000000"/>
          <w:szCs w:val="32"/>
        </w:rPr>
      </w:pPr>
      <w:r>
        <w:rPr>
          <w:rFonts w:hint="eastAsia" w:ascii="仿宋_GB2312"/>
          <w:color w:val="000000"/>
          <w:szCs w:val="32"/>
        </w:rPr>
        <w:t>大赛分为创意组和实践组。</w:t>
      </w:r>
    </w:p>
    <w:p>
      <w:pPr>
        <w:spacing w:line="600" w:lineRule="exact"/>
        <w:ind w:firstLine="632" w:firstLineChars="200"/>
        <w:rPr>
          <w:rFonts w:ascii="仿宋_GB2312"/>
          <w:color w:val="000000"/>
          <w:szCs w:val="32"/>
        </w:rPr>
      </w:pPr>
      <w:r>
        <w:rPr>
          <w:rFonts w:hint="eastAsia" w:ascii="仿宋_GB2312"/>
          <w:color w:val="000000"/>
          <w:szCs w:val="32"/>
        </w:rPr>
        <w:t>创意组参赛条件：申报人是团队负责人或创业企业法人，为普通高等学校在校生（含2015年应届生，不含在职学生）；团队尚未正式注册或注册时间晚于2015年5月1日。</w:t>
      </w:r>
    </w:p>
    <w:p>
      <w:pPr>
        <w:spacing w:line="600" w:lineRule="exact"/>
        <w:ind w:firstLine="632" w:firstLineChars="200"/>
        <w:rPr>
          <w:rFonts w:ascii="仿宋_GB2312"/>
          <w:color w:val="000000"/>
          <w:szCs w:val="32"/>
        </w:rPr>
      </w:pPr>
      <w:r>
        <w:rPr>
          <w:rFonts w:hint="eastAsia" w:ascii="仿宋_GB2312"/>
          <w:color w:val="000000"/>
          <w:szCs w:val="32"/>
        </w:rPr>
        <w:t>实践组参赛条件：申报人是创业企业法人，为普通高等学校在校生（不含在职学生）或毕业5年以内的毕业生；创业企业在2015年5月1日前已注册。</w:t>
      </w:r>
    </w:p>
    <w:p>
      <w:pPr>
        <w:spacing w:line="600" w:lineRule="exact"/>
        <w:ind w:firstLine="632" w:firstLineChars="200"/>
        <w:rPr>
          <w:rFonts w:ascii="仿宋_GB2312"/>
          <w:color w:val="000000"/>
          <w:szCs w:val="32"/>
        </w:rPr>
      </w:pPr>
      <w:r>
        <w:rPr>
          <w:rFonts w:hint="eastAsia" w:ascii="仿宋_GB2312"/>
          <w:color w:val="000000"/>
          <w:szCs w:val="32"/>
        </w:rPr>
        <w:t>以创新创业团队为单位报名参赛。鼓励跨校组建团队。每个参赛团队成员不少于3人。</w:t>
      </w:r>
    </w:p>
    <w:p>
      <w:pPr>
        <w:spacing w:line="600" w:lineRule="exact"/>
        <w:ind w:firstLine="632" w:firstLineChars="200"/>
        <w:rPr>
          <w:rFonts w:ascii="黑体" w:hAnsi="黑体" w:eastAsia="黑体"/>
          <w:color w:val="000000"/>
          <w:szCs w:val="32"/>
        </w:rPr>
      </w:pPr>
      <w:r>
        <w:rPr>
          <w:rFonts w:hint="eastAsia" w:ascii="黑体" w:hAnsi="黑体" w:eastAsia="黑体"/>
          <w:color w:val="000000"/>
          <w:szCs w:val="32"/>
        </w:rPr>
        <w:t>六、比赛规则及主要环节</w:t>
      </w:r>
    </w:p>
    <w:p>
      <w:pPr>
        <w:spacing w:line="600" w:lineRule="exact"/>
        <w:ind w:firstLine="634" w:firstLineChars="200"/>
        <w:rPr>
          <w:rFonts w:ascii="楷体_GB2312" w:eastAsia="楷体_GB2312"/>
          <w:b/>
          <w:color w:val="000000"/>
          <w:szCs w:val="32"/>
        </w:rPr>
      </w:pPr>
      <w:r>
        <w:rPr>
          <w:rFonts w:hint="eastAsia" w:ascii="楷体_GB2312" w:eastAsia="楷体_GB2312"/>
          <w:b/>
          <w:color w:val="000000"/>
          <w:szCs w:val="32"/>
        </w:rPr>
        <w:t>（一）名额分配及比例</w:t>
      </w:r>
    </w:p>
    <w:p>
      <w:pPr>
        <w:spacing w:line="600" w:lineRule="exact"/>
        <w:ind w:firstLine="632" w:firstLineChars="200"/>
        <w:rPr>
          <w:rFonts w:ascii="仿宋_GB2312"/>
          <w:color w:val="000000"/>
          <w:szCs w:val="32"/>
        </w:rPr>
      </w:pPr>
      <w:r>
        <w:rPr>
          <w:rFonts w:hint="eastAsia" w:ascii="仿宋_GB2312"/>
          <w:color w:val="000000"/>
          <w:szCs w:val="32"/>
        </w:rPr>
        <w:t>各校在校级初赛基础上，按照不低于在校生数1‰的比例（即每1000名学生应推荐1项）择优推荐项目参加省级复赛。经过省级复赛的遴选，按照国家分配我省的名额择优推荐项目参加全国总决赛。</w:t>
      </w:r>
    </w:p>
    <w:p>
      <w:pPr>
        <w:spacing w:line="600" w:lineRule="exact"/>
        <w:ind w:firstLine="634" w:firstLineChars="200"/>
        <w:rPr>
          <w:rFonts w:ascii="楷体_GB2312" w:eastAsia="楷体_GB2312"/>
          <w:b/>
          <w:color w:val="000000"/>
          <w:szCs w:val="32"/>
        </w:rPr>
      </w:pPr>
      <w:r>
        <w:rPr>
          <w:rFonts w:hint="eastAsia" w:ascii="楷体_GB2312" w:eastAsia="楷体_GB2312"/>
          <w:b/>
          <w:color w:val="000000"/>
          <w:szCs w:val="32"/>
        </w:rPr>
        <w:t>（二）材料提交及要求</w:t>
      </w:r>
    </w:p>
    <w:p>
      <w:pPr>
        <w:spacing w:line="600" w:lineRule="exact"/>
        <w:ind w:firstLine="632" w:firstLineChars="200"/>
        <w:rPr>
          <w:rFonts w:ascii="仿宋_GB2312"/>
          <w:color w:val="000000"/>
          <w:szCs w:val="32"/>
        </w:rPr>
      </w:pPr>
      <w:r>
        <w:rPr>
          <w:rFonts w:hint="eastAsia" w:ascii="仿宋_GB2312"/>
          <w:color w:val="000000"/>
          <w:szCs w:val="32"/>
        </w:rPr>
        <w:t>参赛材料为《项目申报书》（从报名平台下载）、《项目计划书》。参赛团队按自愿原则提供一分钟展示视频和用于项目展示及答辩环节的PPT文件。实践组和已注册企业的创意组参赛团队还需提交组织机构代码证、营业执照复印件及其他佐证材料（专利、著作、政府批文、鉴定材料等）。</w:t>
      </w:r>
    </w:p>
    <w:p>
      <w:pPr>
        <w:spacing w:line="600" w:lineRule="exact"/>
        <w:ind w:firstLine="632" w:firstLineChars="200"/>
        <w:rPr>
          <w:rFonts w:ascii="仿宋_GB2312"/>
          <w:color w:val="000000"/>
          <w:szCs w:val="32"/>
        </w:rPr>
      </w:pPr>
      <w:r>
        <w:rPr>
          <w:rFonts w:hint="eastAsia" w:ascii="仿宋_GB2312"/>
          <w:color w:val="000000"/>
          <w:szCs w:val="32"/>
        </w:rPr>
        <w:t>参赛材料请于8月15日下午3:00前以电子版形式通过报名平台提交组委会。《项目计划书》电子版为 PDF 文件，大小不超过 30Mb。视频格式不限，需保证画面流畅，声音清晰，大小不超过 1G。</w:t>
      </w:r>
    </w:p>
    <w:p>
      <w:pPr>
        <w:spacing w:line="600" w:lineRule="exact"/>
        <w:ind w:firstLine="632" w:firstLineChars="200"/>
        <w:rPr>
          <w:rFonts w:ascii="仿宋_GB2312"/>
          <w:color w:val="000000"/>
          <w:szCs w:val="32"/>
        </w:rPr>
      </w:pPr>
      <w:r>
        <w:rPr>
          <w:rFonts w:hint="eastAsia" w:ascii="仿宋_GB2312"/>
          <w:color w:val="000000"/>
          <w:szCs w:val="32"/>
        </w:rPr>
        <w:t>进入复赛第二轮的项目应提交书面参赛材料；进入第三轮的应提交PPT文件。提交时间和要求另行通知。</w:t>
      </w:r>
    </w:p>
    <w:p>
      <w:pPr>
        <w:spacing w:line="600" w:lineRule="exact"/>
        <w:ind w:firstLine="634" w:firstLineChars="200"/>
        <w:rPr>
          <w:rFonts w:ascii="楷体_GB2312" w:eastAsia="楷体_GB2312"/>
          <w:b/>
          <w:color w:val="000000"/>
          <w:szCs w:val="32"/>
        </w:rPr>
      </w:pPr>
      <w:r>
        <w:rPr>
          <w:rFonts w:hint="eastAsia" w:ascii="楷体_GB2312" w:eastAsia="楷体_GB2312"/>
          <w:b/>
          <w:color w:val="000000"/>
          <w:szCs w:val="32"/>
        </w:rPr>
        <w:t xml:space="preserve">（二）评审内容及赛制 </w:t>
      </w:r>
    </w:p>
    <w:p>
      <w:pPr>
        <w:spacing w:line="600" w:lineRule="exact"/>
        <w:ind w:firstLine="632" w:firstLineChars="200"/>
        <w:rPr>
          <w:rFonts w:ascii="仿宋_GB2312"/>
          <w:color w:val="000000"/>
          <w:szCs w:val="32"/>
        </w:rPr>
      </w:pPr>
      <w:r>
        <w:rPr>
          <w:rFonts w:hint="eastAsia" w:ascii="仿宋_GB2312"/>
          <w:color w:val="000000"/>
          <w:szCs w:val="32"/>
        </w:rPr>
        <w:t>复赛采取4轮制。</w:t>
      </w:r>
    </w:p>
    <w:p>
      <w:pPr>
        <w:spacing w:line="600" w:lineRule="exact"/>
        <w:ind w:firstLine="634" w:firstLineChars="200"/>
        <w:rPr>
          <w:rFonts w:ascii="仿宋_GB2312"/>
          <w:color w:val="000000"/>
          <w:szCs w:val="32"/>
        </w:rPr>
      </w:pPr>
      <w:r>
        <w:rPr>
          <w:rFonts w:hint="eastAsia" w:ascii="楷体_GB2312" w:eastAsia="楷体_GB2312"/>
          <w:b/>
          <w:color w:val="000000"/>
          <w:szCs w:val="32"/>
        </w:rPr>
        <w:t>1.第一轮：</w:t>
      </w:r>
      <w:r>
        <w:rPr>
          <w:rFonts w:hint="eastAsia" w:ascii="仿宋_GB2312"/>
          <w:color w:val="000000"/>
          <w:szCs w:val="32"/>
        </w:rPr>
        <w:t>对各校参赛项目以网络评审方式进行初审，从中择优遴选162项进入下一轮比赛。</w:t>
      </w:r>
    </w:p>
    <w:p>
      <w:pPr>
        <w:spacing w:line="600" w:lineRule="exact"/>
        <w:ind w:firstLine="634" w:firstLineChars="200"/>
        <w:rPr>
          <w:rFonts w:ascii="仿宋_GB2312"/>
          <w:color w:val="000000"/>
          <w:szCs w:val="32"/>
        </w:rPr>
      </w:pPr>
      <w:r>
        <w:rPr>
          <w:rFonts w:hint="eastAsia" w:ascii="楷体_GB2312" w:eastAsia="楷体_GB2312"/>
          <w:b/>
          <w:color w:val="000000"/>
          <w:szCs w:val="32"/>
        </w:rPr>
        <w:t>2.第二轮：</w:t>
      </w:r>
      <w:r>
        <w:rPr>
          <w:rFonts w:hint="eastAsia" w:ascii="仿宋_GB2312"/>
          <w:color w:val="000000"/>
          <w:szCs w:val="32"/>
        </w:rPr>
        <w:t>162进54（设108个铜奖）</w:t>
      </w:r>
    </w:p>
    <w:p>
      <w:pPr>
        <w:spacing w:line="600" w:lineRule="exact"/>
        <w:ind w:firstLine="632" w:firstLineChars="200"/>
        <w:rPr>
          <w:rFonts w:ascii="仿宋_GB2312"/>
          <w:color w:val="000000"/>
          <w:szCs w:val="32"/>
        </w:rPr>
      </w:pPr>
      <w:r>
        <w:rPr>
          <w:rFonts w:hint="eastAsia" w:ascii="仿宋_GB2312"/>
          <w:color w:val="000000"/>
          <w:szCs w:val="32"/>
        </w:rPr>
        <w:t xml:space="preserve">项目计划书评审：创意组根据团队创意设计撰写项目计划书，实践组根据公司实际经营情况撰写创业项目计划书。内容主要包括产品/服务介绍、市场分析及定位、商业模式、营销策略、财务分析、风险控制、团队介绍及其他说明。 </w:t>
      </w:r>
    </w:p>
    <w:p>
      <w:pPr>
        <w:spacing w:line="600" w:lineRule="exact"/>
        <w:ind w:firstLine="634" w:firstLineChars="200"/>
        <w:rPr>
          <w:rFonts w:ascii="仿宋_GB2312"/>
          <w:color w:val="000000"/>
          <w:szCs w:val="32"/>
        </w:rPr>
      </w:pPr>
      <w:r>
        <w:rPr>
          <w:rFonts w:hint="eastAsia" w:ascii="楷体_GB2312" w:eastAsia="楷体_GB2312"/>
          <w:b/>
          <w:color w:val="000000"/>
          <w:szCs w:val="32"/>
        </w:rPr>
        <w:t>3.第三轮：</w:t>
      </w:r>
      <w:r>
        <w:rPr>
          <w:rFonts w:hint="eastAsia" w:ascii="仿宋_GB2312"/>
          <w:color w:val="000000"/>
          <w:szCs w:val="32"/>
        </w:rPr>
        <w:t>54进18（设36个银奖）</w:t>
      </w:r>
    </w:p>
    <w:p>
      <w:pPr>
        <w:spacing w:line="600" w:lineRule="exact"/>
        <w:ind w:firstLine="632" w:firstLineChars="200"/>
        <w:rPr>
          <w:rFonts w:ascii="仿宋_GB2312"/>
          <w:color w:val="000000"/>
          <w:szCs w:val="32"/>
        </w:rPr>
      </w:pPr>
      <w:r>
        <w:rPr>
          <w:rFonts w:hint="eastAsia" w:ascii="仿宋_GB2312"/>
          <w:color w:val="000000"/>
          <w:szCs w:val="32"/>
        </w:rPr>
        <w:t xml:space="preserve">项目展示及答辩：参赛团队进行创新创业项目展示并回答评委提问。项目展示内容主要包括产品/服务介绍、市场分析及定位、商业模式、营销策略、财务分析、风险控制、团队介绍等。可进行产品实物展示。展示及答辩过程中，语言表达简明扼要，条理清晰。 </w:t>
      </w:r>
    </w:p>
    <w:p>
      <w:pPr>
        <w:spacing w:line="600" w:lineRule="exact"/>
        <w:ind w:firstLine="634" w:firstLineChars="200"/>
        <w:rPr>
          <w:rFonts w:ascii="仿宋_GB2312"/>
          <w:color w:val="000000"/>
          <w:szCs w:val="32"/>
        </w:rPr>
      </w:pPr>
      <w:r>
        <w:rPr>
          <w:rFonts w:hint="eastAsia" w:ascii="楷体_GB2312" w:eastAsia="楷体_GB2312"/>
          <w:b/>
          <w:color w:val="000000"/>
          <w:szCs w:val="32"/>
        </w:rPr>
        <w:t>4.第四轮：</w:t>
      </w:r>
      <w:r>
        <w:rPr>
          <w:rFonts w:hint="eastAsia" w:ascii="仿宋_GB2312"/>
          <w:color w:val="000000"/>
          <w:szCs w:val="32"/>
        </w:rPr>
        <w:t>决出冠亚季军（设18个金奖）</w:t>
      </w:r>
    </w:p>
    <w:p>
      <w:pPr>
        <w:spacing w:line="600" w:lineRule="exact"/>
        <w:ind w:firstLine="632" w:firstLineChars="200"/>
        <w:rPr>
          <w:rFonts w:ascii="仿宋_GB2312"/>
          <w:color w:val="000000"/>
          <w:szCs w:val="32"/>
        </w:rPr>
      </w:pPr>
      <w:r>
        <w:rPr>
          <w:rFonts w:hint="eastAsia" w:ascii="仿宋_GB2312"/>
          <w:color w:val="000000"/>
          <w:szCs w:val="32"/>
        </w:rPr>
        <w:t>投资人面谈：参赛团队与数位风险投资人进行逐一面谈，并结合自身创业项目制定合理可行的风险投资方案，在规定时间内与投资人商议，确定投资意向。评委会通过各参赛团队风险投资方案展示、答辩表现、获得投资意向数量等几个要素进行评分。</w:t>
      </w:r>
    </w:p>
    <w:p>
      <w:pPr>
        <w:spacing w:line="600" w:lineRule="exact"/>
        <w:ind w:firstLine="632" w:firstLineChars="200"/>
        <w:rPr>
          <w:rFonts w:ascii="仿宋_GB2312"/>
          <w:color w:val="000000"/>
          <w:szCs w:val="32"/>
        </w:rPr>
      </w:pPr>
      <w:r>
        <w:rPr>
          <w:rFonts w:hint="eastAsia" w:ascii="仿宋_GB2312"/>
          <w:color w:val="000000"/>
          <w:szCs w:val="32"/>
        </w:rPr>
        <w:t xml:space="preserve">项目互换互评：参赛团队提前进行抽签两两分组，预先拿到对方项目计划书进行准备。比赛现场各团队对对方团队创业项目进行评析，客观评估对方项目优劣势并提出改进建议。每队 20 分钟，共计 40 分钟。评析过程中可向对方提问，对方一次性作答时间不得超过 3 分钟。如未提问，对方不可主动发言。 </w:t>
      </w:r>
    </w:p>
    <w:p>
      <w:pPr>
        <w:spacing w:line="600" w:lineRule="exact"/>
        <w:ind w:firstLine="632" w:firstLineChars="200"/>
        <w:rPr>
          <w:rFonts w:ascii="黑体" w:hAnsi="黑体" w:eastAsia="黑体"/>
          <w:color w:val="000000"/>
          <w:szCs w:val="32"/>
        </w:rPr>
      </w:pPr>
      <w:r>
        <w:rPr>
          <w:rFonts w:hint="eastAsia" w:ascii="黑体" w:hAnsi="黑体" w:eastAsia="黑体"/>
          <w:color w:val="000000"/>
          <w:szCs w:val="32"/>
        </w:rPr>
        <w:t>八、奖项设置及奖励政策</w:t>
      </w:r>
    </w:p>
    <w:p>
      <w:pPr>
        <w:spacing w:line="600" w:lineRule="exact"/>
        <w:ind w:firstLine="634" w:firstLineChars="200"/>
        <w:rPr>
          <w:rFonts w:ascii="楷体_GB2312" w:eastAsia="楷体_GB2312"/>
          <w:b/>
          <w:color w:val="000000"/>
          <w:szCs w:val="32"/>
        </w:rPr>
      </w:pPr>
      <w:r>
        <w:rPr>
          <w:rFonts w:hint="eastAsia" w:ascii="楷体_GB2312" w:eastAsia="楷体_GB2312"/>
          <w:b/>
          <w:color w:val="000000"/>
          <w:szCs w:val="32"/>
        </w:rPr>
        <w:t>（一）奖项设置</w:t>
      </w:r>
    </w:p>
    <w:p>
      <w:pPr>
        <w:spacing w:line="600" w:lineRule="exact"/>
        <w:ind w:firstLine="634" w:firstLineChars="200"/>
        <w:rPr>
          <w:rFonts w:ascii="仿宋_GB2312"/>
          <w:color w:val="000000"/>
          <w:szCs w:val="32"/>
        </w:rPr>
      </w:pPr>
      <w:r>
        <w:rPr>
          <w:rFonts w:hint="eastAsia" w:ascii="楷体_GB2312" w:eastAsia="楷体_GB2312"/>
          <w:b/>
          <w:color w:val="000000"/>
          <w:szCs w:val="32"/>
        </w:rPr>
        <w:t>1.单项奖：</w:t>
      </w:r>
      <w:r>
        <w:rPr>
          <w:rFonts w:hint="eastAsia" w:ascii="仿宋_GB2312"/>
          <w:color w:val="000000"/>
          <w:szCs w:val="32"/>
        </w:rPr>
        <w:t>金奖18个、银奖36个、铜奖108个。</w:t>
      </w:r>
    </w:p>
    <w:p>
      <w:pPr>
        <w:spacing w:line="600" w:lineRule="exact"/>
        <w:ind w:firstLine="634" w:firstLineChars="200"/>
        <w:rPr>
          <w:rFonts w:ascii="仿宋_GB2312"/>
          <w:color w:val="000000"/>
          <w:szCs w:val="32"/>
        </w:rPr>
      </w:pPr>
      <w:r>
        <w:rPr>
          <w:rFonts w:hint="eastAsia" w:ascii="楷体_GB2312" w:eastAsia="楷体_GB2312"/>
          <w:b/>
          <w:color w:val="000000"/>
          <w:szCs w:val="32"/>
        </w:rPr>
        <w:t>2.集体奖：</w:t>
      </w:r>
      <w:r>
        <w:rPr>
          <w:rFonts w:hint="eastAsia" w:ascii="仿宋_GB2312"/>
          <w:color w:val="000000"/>
          <w:szCs w:val="32"/>
        </w:rPr>
        <w:t>8个（取高校获奖奖项积分前8名）。</w:t>
      </w:r>
    </w:p>
    <w:p>
      <w:pPr>
        <w:spacing w:line="600" w:lineRule="exact"/>
        <w:ind w:firstLine="634" w:firstLineChars="200"/>
        <w:rPr>
          <w:rFonts w:ascii="仿宋_GB2312"/>
          <w:color w:val="000000"/>
          <w:szCs w:val="32"/>
        </w:rPr>
      </w:pPr>
      <w:r>
        <w:rPr>
          <w:rFonts w:hint="eastAsia" w:ascii="楷体_GB2312" w:eastAsia="楷体_GB2312"/>
          <w:b/>
          <w:color w:val="000000"/>
          <w:szCs w:val="32"/>
        </w:rPr>
        <w:t>3.优秀组织奖：</w:t>
      </w:r>
      <w:r>
        <w:rPr>
          <w:rFonts w:hint="eastAsia" w:ascii="仿宋_GB2312"/>
          <w:color w:val="000000"/>
          <w:szCs w:val="32"/>
        </w:rPr>
        <w:t>10个（结合高校校级初赛、参加省级复赛情况综合评定）。</w:t>
      </w:r>
    </w:p>
    <w:p>
      <w:pPr>
        <w:spacing w:line="600" w:lineRule="exact"/>
        <w:ind w:firstLine="634" w:firstLineChars="200"/>
        <w:rPr>
          <w:rFonts w:ascii="仿宋_GB2312"/>
          <w:color w:val="000000"/>
          <w:szCs w:val="32"/>
        </w:rPr>
      </w:pPr>
      <w:r>
        <w:rPr>
          <w:rFonts w:hint="eastAsia" w:ascii="楷体_GB2312" w:eastAsia="楷体_GB2312"/>
          <w:b/>
          <w:color w:val="000000"/>
          <w:szCs w:val="32"/>
        </w:rPr>
        <w:t>4.企业贡献奖：</w:t>
      </w:r>
      <w:r>
        <w:rPr>
          <w:rFonts w:hint="eastAsia" w:ascii="仿宋_GB2312"/>
          <w:color w:val="000000"/>
          <w:szCs w:val="32"/>
        </w:rPr>
        <w:t>3个（奖励支持高校创新创业教育并为本次赛事作出贡献的企业）。</w:t>
      </w:r>
    </w:p>
    <w:p>
      <w:pPr>
        <w:spacing w:line="600" w:lineRule="exact"/>
        <w:ind w:firstLine="634" w:firstLineChars="200"/>
        <w:rPr>
          <w:rFonts w:ascii="楷体_GB2312" w:eastAsia="楷体_GB2312"/>
          <w:b/>
          <w:color w:val="000000"/>
          <w:szCs w:val="32"/>
        </w:rPr>
      </w:pPr>
      <w:r>
        <w:rPr>
          <w:rFonts w:hint="eastAsia" w:ascii="楷体_GB2312" w:eastAsia="楷体_GB2312"/>
          <w:b/>
          <w:color w:val="000000"/>
          <w:szCs w:val="32"/>
        </w:rPr>
        <w:t>（二）奖金及配套支持政策</w:t>
      </w:r>
    </w:p>
    <w:p>
      <w:pPr>
        <w:spacing w:line="600" w:lineRule="exact"/>
        <w:ind w:firstLine="632" w:firstLineChars="200"/>
        <w:rPr>
          <w:rFonts w:ascii="仿宋_GB2312"/>
          <w:color w:val="000000"/>
          <w:szCs w:val="32"/>
        </w:rPr>
      </w:pPr>
      <w:r>
        <w:rPr>
          <w:rFonts w:hint="eastAsia" w:ascii="仿宋_GB2312"/>
          <w:color w:val="000000"/>
          <w:szCs w:val="32"/>
        </w:rPr>
        <w:t>1.给予奖金奖励；</w:t>
      </w:r>
    </w:p>
    <w:p>
      <w:pPr>
        <w:spacing w:line="600" w:lineRule="exact"/>
        <w:ind w:firstLine="632" w:firstLineChars="200"/>
        <w:rPr>
          <w:rFonts w:ascii="仿宋_GB2312"/>
          <w:color w:val="000000"/>
          <w:szCs w:val="32"/>
        </w:rPr>
      </w:pPr>
      <w:r>
        <w:rPr>
          <w:rFonts w:hint="eastAsia" w:ascii="仿宋_GB2312"/>
          <w:color w:val="000000"/>
          <w:szCs w:val="32"/>
        </w:rPr>
        <w:t>2.择优推荐参加全国总决赛，并享受国家大赛相关支持政策；</w:t>
      </w:r>
    </w:p>
    <w:p>
      <w:pPr>
        <w:spacing w:line="600" w:lineRule="exact"/>
        <w:ind w:firstLine="632" w:firstLineChars="200"/>
        <w:rPr>
          <w:rFonts w:ascii="仿宋_GB2312"/>
          <w:color w:val="000000"/>
          <w:szCs w:val="32"/>
        </w:rPr>
      </w:pPr>
      <w:r>
        <w:rPr>
          <w:rFonts w:hint="eastAsia" w:ascii="仿宋_GB2312"/>
          <w:color w:val="000000"/>
          <w:szCs w:val="32"/>
        </w:rPr>
        <w:t>3.优先推荐给行业企业、创投风投机构、大学科技园、高校和科研院所进行支持，依托湖北科技金融服务平台优先予以投资孵化的增值服务；</w:t>
      </w:r>
    </w:p>
    <w:p>
      <w:pPr>
        <w:spacing w:line="600" w:lineRule="exact"/>
        <w:ind w:firstLine="632" w:firstLineChars="200"/>
        <w:rPr>
          <w:rFonts w:ascii="仿宋_GB2312"/>
          <w:color w:val="000000"/>
          <w:szCs w:val="32"/>
        </w:rPr>
      </w:pPr>
      <w:r>
        <w:rPr>
          <w:rFonts w:hint="eastAsia" w:ascii="仿宋_GB2312"/>
          <w:color w:val="000000"/>
          <w:szCs w:val="32"/>
        </w:rPr>
        <w:t>4.在校生的获奖作品申报当年度大学生优秀科研成果项目的，不占学校指标；在同等条件下，优先予以立项；</w:t>
      </w:r>
    </w:p>
    <w:p>
      <w:pPr>
        <w:spacing w:line="600" w:lineRule="exact"/>
        <w:ind w:firstLine="632" w:firstLineChars="200"/>
        <w:rPr>
          <w:rFonts w:ascii="仿宋_GB2312"/>
          <w:color w:val="000000"/>
          <w:szCs w:val="32"/>
        </w:rPr>
      </w:pPr>
      <w:r>
        <w:rPr>
          <w:rFonts w:hint="eastAsia" w:ascii="仿宋_GB2312"/>
          <w:color w:val="000000"/>
          <w:szCs w:val="32"/>
        </w:rPr>
        <w:t>5.对积极参与大赛并取得较好成绩的高校，在申报创新创业教育改革项目和各级大学生创新创业训练计划项目中予以优先支持。</w:t>
      </w:r>
    </w:p>
    <w:p>
      <w:pPr>
        <w:spacing w:line="600" w:lineRule="exact"/>
        <w:ind w:firstLine="632" w:firstLineChars="200"/>
        <w:rPr>
          <w:rFonts w:ascii="黑体" w:hAnsi="黑体" w:eastAsia="黑体"/>
          <w:color w:val="000000"/>
          <w:szCs w:val="32"/>
        </w:rPr>
      </w:pPr>
      <w:r>
        <w:rPr>
          <w:rFonts w:hint="eastAsia" w:ascii="黑体" w:hAnsi="黑体" w:eastAsia="黑体"/>
          <w:color w:val="000000"/>
          <w:szCs w:val="32"/>
        </w:rPr>
        <w:t>九、有关要求</w:t>
      </w:r>
    </w:p>
    <w:p>
      <w:pPr>
        <w:spacing w:line="600" w:lineRule="exact"/>
        <w:ind w:firstLine="632" w:firstLineChars="200"/>
        <w:rPr>
          <w:rFonts w:ascii="仿宋_GB2312"/>
          <w:color w:val="000000"/>
          <w:szCs w:val="32"/>
        </w:rPr>
      </w:pPr>
      <w:r>
        <w:rPr>
          <w:rFonts w:hint="eastAsia" w:ascii="仿宋_GB2312"/>
          <w:color w:val="000000"/>
          <w:szCs w:val="32"/>
        </w:rPr>
        <w:t>1.各高校要高度重视，成立以校主要领导为组长，教务、学工、团委、就业等部门参与的大赛组织机构，明确专人负责，精心组织实施。要认真做好大赛的宣传发动，加强对参赛团队的指导培训，为参赛学生提供必要的条件支持，鼓励更多高校学生参与创新创业训练和实践，推动形成“大众创新，万众创业”的新局面。</w:t>
      </w:r>
    </w:p>
    <w:p>
      <w:pPr>
        <w:spacing w:line="600" w:lineRule="exact"/>
        <w:ind w:firstLine="632" w:firstLineChars="200"/>
        <w:rPr>
          <w:rFonts w:ascii="仿宋_GB2312"/>
          <w:color w:val="000000"/>
          <w:szCs w:val="32"/>
        </w:rPr>
      </w:pPr>
      <w:r>
        <w:rPr>
          <w:rFonts w:hint="eastAsia" w:ascii="仿宋_GB2312"/>
          <w:color w:val="000000"/>
          <w:szCs w:val="32"/>
        </w:rPr>
        <w:t>2.各高校请于8月15日前完成校级初赛和参加省级复赛项目的遴选工作，并按时提交参赛材料。</w:t>
      </w:r>
    </w:p>
    <w:p>
      <w:pPr>
        <w:spacing w:line="600" w:lineRule="exact"/>
        <w:ind w:firstLine="632" w:firstLineChars="200"/>
        <w:rPr>
          <w:rFonts w:ascii="仿宋_GB2312"/>
          <w:color w:val="000000"/>
          <w:szCs w:val="32"/>
        </w:rPr>
      </w:pPr>
      <w:r>
        <w:rPr>
          <w:rFonts w:hint="eastAsia" w:ascii="仿宋_GB2312"/>
          <w:color w:val="000000"/>
          <w:szCs w:val="32"/>
        </w:rPr>
        <w:t>3.为方便工作沟通与交流，请各高校确定1名联系人加入大赛QQ群（277962917）。</w:t>
      </w:r>
    </w:p>
    <w:p>
      <w:pPr>
        <w:spacing w:line="600" w:lineRule="exact"/>
        <w:ind w:firstLine="632" w:firstLineChars="200"/>
        <w:rPr>
          <w:rFonts w:ascii="仿宋_GB2312"/>
          <w:color w:val="000000"/>
          <w:szCs w:val="32"/>
        </w:rPr>
      </w:pPr>
      <w:r>
        <w:rPr>
          <w:rFonts w:hint="eastAsia" w:ascii="仿宋_GB2312"/>
          <w:color w:val="000000"/>
          <w:szCs w:val="32"/>
        </w:rPr>
        <w:t>大赛组委会联系人：湖北工业大学教务处李晓波、吕栋，电话：027-59750117、59750107；省教育厅高教处丁铱，电话：027-87328007;</w:t>
      </w:r>
      <w:r>
        <w:rPr>
          <w:rFonts w:hint="eastAsia" w:ascii="仿宋_GB2312"/>
          <w:szCs w:val="32"/>
        </w:rPr>
        <w:t xml:space="preserve"> 省教育厅职成教处李英，电话：027-87328019。</w:t>
      </w:r>
    </w:p>
    <w:p>
      <w:pPr>
        <w:spacing w:line="600" w:lineRule="exact"/>
        <w:ind w:right="632" w:firstLine="632" w:firstLineChars="200"/>
        <w:jc w:val="center"/>
        <w:rPr>
          <w:rFonts w:hint="eastAsia" w:ascii="仿宋_GB2312"/>
          <w:color w:val="000000"/>
          <w:szCs w:val="32"/>
        </w:rPr>
      </w:pPr>
    </w:p>
    <w:p>
      <w:pPr>
        <w:spacing w:line="600" w:lineRule="exact"/>
        <w:ind w:firstLine="632" w:firstLineChars="200"/>
        <w:rPr>
          <w:rFonts w:hint="eastAsia" w:ascii="黑体" w:hAnsi="黑体" w:eastAsia="黑体"/>
          <w:color w:val="000000"/>
          <w:szCs w:val="32"/>
        </w:rPr>
      </w:pPr>
    </w:p>
    <w:p>
      <w:pPr>
        <w:spacing w:line="600" w:lineRule="exact"/>
        <w:ind w:right="632" w:firstLine="632" w:firstLineChars="200"/>
        <w:jc w:val="center"/>
        <w:rPr>
          <w:rFonts w:ascii="仿宋_GB2312"/>
          <w:color w:val="000000"/>
          <w:szCs w:val="32"/>
        </w:rPr>
      </w:pPr>
      <w:r>
        <w:rPr>
          <w:rFonts w:hint="eastAsia" w:ascii="仿宋_GB2312"/>
          <w:color w:val="000000"/>
          <w:szCs w:val="32"/>
        </w:rPr>
        <w:t xml:space="preserve">           湖北省教育厅</w:t>
      </w:r>
    </w:p>
    <w:p>
      <w:pPr>
        <w:spacing w:line="600" w:lineRule="exact"/>
        <w:ind w:right="632" w:firstLine="632" w:firstLineChars="200"/>
        <w:jc w:val="center"/>
        <w:rPr>
          <w:rFonts w:hint="eastAsia"/>
          <w:szCs w:val="32"/>
        </w:rPr>
      </w:pPr>
      <w:r>
        <w:rPr>
          <w:rFonts w:hint="eastAsia" w:ascii="仿宋_GB2312"/>
          <w:color w:val="000000"/>
          <w:szCs w:val="32"/>
        </w:rPr>
        <w:t xml:space="preserve">           2015年7月9日</w:t>
      </w:r>
    </w:p>
    <w:sectPr>
      <w:headerReference r:id="rId4" w:type="default"/>
      <w:footerReference r:id="rId5" w:type="default"/>
      <w:footerReference r:id="rId6" w:type="even"/>
      <w:pgSz w:w="11906" w:h="16838"/>
      <w:pgMar w:top="1928" w:right="1588" w:bottom="1531" w:left="1588" w:header="851" w:footer="1247" w:gutter="0"/>
      <w:cols w:space="425" w:num="1"/>
      <w:titlePg/>
      <w:docGrid w:type="linesAndChars" w:linePitch="608"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287" w:usb1="080F0000" w:usb2="00000010" w:usb3="00000000" w:csb0="0004009F" w:csb1="00000000"/>
  </w:font>
  <w:font w:name="方正小标宋简体">
    <w:altName w:val="微软雅黑"/>
    <w:panose1 w:val="02010601030101010101"/>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framePr w:wrap="around" w:vAnchor="text" w:hAnchor="margin" w:xAlign="outside" w:y="1"/>
      <w:rPr>
        <w:rStyle w:val="13"/>
        <w:sz w:val="28"/>
      </w:rPr>
    </w:pPr>
    <w:r>
      <w:rPr>
        <w:rStyle w:val="13"/>
        <w:rFonts w:hint="eastAsia"/>
        <w:sz w:val="28"/>
      </w:rPr>
      <w:t xml:space="preserve">— </w:t>
    </w:r>
    <w:r>
      <w:rPr>
        <w:rStyle w:val="13"/>
        <w:sz w:val="28"/>
      </w:rPr>
      <w:fldChar w:fldCharType="begin"/>
    </w:r>
    <w:r>
      <w:rPr>
        <w:rStyle w:val="13"/>
        <w:sz w:val="28"/>
      </w:rPr>
      <w:instrText xml:space="preserve">PAGE  </w:instrText>
    </w:r>
    <w:r>
      <w:rPr>
        <w:rStyle w:val="13"/>
        <w:sz w:val="28"/>
      </w:rPr>
      <w:fldChar w:fldCharType="separate"/>
    </w:r>
    <w:r>
      <w:rPr>
        <w:rStyle w:val="13"/>
        <w:sz w:val="28"/>
      </w:rPr>
      <w:t>2</w:t>
    </w:r>
    <w:r>
      <w:rPr>
        <w:rStyle w:val="13"/>
        <w:sz w:val="28"/>
      </w:rPr>
      <w:fldChar w:fldCharType="end"/>
    </w:r>
    <w:r>
      <w:rPr>
        <w:rStyle w:val="13"/>
        <w:rFonts w:hint="eastAsia"/>
        <w:sz w:val="28"/>
      </w:rPr>
      <w:t xml:space="preserve"> —</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5"/>
  <w:drawingGridHorizontalSpacing w:val="315"/>
  <w:drawingGridVerticalSpacing w:val="304"/>
  <w:displayHorizontalDrawingGridEvery w:val="0"/>
  <w:displayVerticalDrawingGridEvery w:val="2"/>
  <w:characterSpacingControl w:val="compressPunctuation"/>
  <w:compat>
    <w:spaceForUL/>
    <w:balanceSingleByteDoubleByteWidth/>
    <w:doNotLeaveBackslashAlone/>
    <w:ulTrailSpace/>
    <w:doNotExpandShiftReturn/>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B2505"/>
    <w:rsid w:val="00001CA5"/>
    <w:rsid w:val="00010620"/>
    <w:rsid w:val="000150BE"/>
    <w:rsid w:val="000270A4"/>
    <w:rsid w:val="000346DC"/>
    <w:rsid w:val="0004676A"/>
    <w:rsid w:val="000474FF"/>
    <w:rsid w:val="00051195"/>
    <w:rsid w:val="00054E15"/>
    <w:rsid w:val="00061274"/>
    <w:rsid w:val="00061502"/>
    <w:rsid w:val="0008266C"/>
    <w:rsid w:val="00094339"/>
    <w:rsid w:val="000B411A"/>
    <w:rsid w:val="000C351F"/>
    <w:rsid w:val="000E65C5"/>
    <w:rsid w:val="000E7BB2"/>
    <w:rsid w:val="00100285"/>
    <w:rsid w:val="00101D02"/>
    <w:rsid w:val="00105D61"/>
    <w:rsid w:val="00106DD8"/>
    <w:rsid w:val="001103F0"/>
    <w:rsid w:val="0013516F"/>
    <w:rsid w:val="001358D7"/>
    <w:rsid w:val="00146515"/>
    <w:rsid w:val="00147B93"/>
    <w:rsid w:val="001618EA"/>
    <w:rsid w:val="00161D54"/>
    <w:rsid w:val="00165319"/>
    <w:rsid w:val="00166FFD"/>
    <w:rsid w:val="00173B65"/>
    <w:rsid w:val="001779FB"/>
    <w:rsid w:val="0018134A"/>
    <w:rsid w:val="00184916"/>
    <w:rsid w:val="001922CE"/>
    <w:rsid w:val="00195904"/>
    <w:rsid w:val="0019658D"/>
    <w:rsid w:val="001A0E49"/>
    <w:rsid w:val="001A6423"/>
    <w:rsid w:val="001B065E"/>
    <w:rsid w:val="001B750C"/>
    <w:rsid w:val="001C4259"/>
    <w:rsid w:val="001C51CC"/>
    <w:rsid w:val="001C53BD"/>
    <w:rsid w:val="001F110B"/>
    <w:rsid w:val="001F3E9F"/>
    <w:rsid w:val="001F4DEA"/>
    <w:rsid w:val="00244F7D"/>
    <w:rsid w:val="00246D14"/>
    <w:rsid w:val="00254632"/>
    <w:rsid w:val="00274A95"/>
    <w:rsid w:val="00282D28"/>
    <w:rsid w:val="00285302"/>
    <w:rsid w:val="0029161B"/>
    <w:rsid w:val="002C592D"/>
    <w:rsid w:val="002D3927"/>
    <w:rsid w:val="002E302D"/>
    <w:rsid w:val="002F14A7"/>
    <w:rsid w:val="00305649"/>
    <w:rsid w:val="00306A24"/>
    <w:rsid w:val="00313AC0"/>
    <w:rsid w:val="00314EED"/>
    <w:rsid w:val="00315BE5"/>
    <w:rsid w:val="003301A3"/>
    <w:rsid w:val="00333F04"/>
    <w:rsid w:val="003417DC"/>
    <w:rsid w:val="003422DE"/>
    <w:rsid w:val="0035042E"/>
    <w:rsid w:val="00351D17"/>
    <w:rsid w:val="003573C6"/>
    <w:rsid w:val="00357AA7"/>
    <w:rsid w:val="00360006"/>
    <w:rsid w:val="00366F92"/>
    <w:rsid w:val="00392EA6"/>
    <w:rsid w:val="003B6AB4"/>
    <w:rsid w:val="003C1A22"/>
    <w:rsid w:val="003C334B"/>
    <w:rsid w:val="003D30CD"/>
    <w:rsid w:val="003E62C2"/>
    <w:rsid w:val="003E785C"/>
    <w:rsid w:val="003F1DA1"/>
    <w:rsid w:val="00413AA2"/>
    <w:rsid w:val="00423E86"/>
    <w:rsid w:val="00432790"/>
    <w:rsid w:val="004356CB"/>
    <w:rsid w:val="00435A84"/>
    <w:rsid w:val="0044051E"/>
    <w:rsid w:val="00444DC1"/>
    <w:rsid w:val="00453E17"/>
    <w:rsid w:val="004647C6"/>
    <w:rsid w:val="00487732"/>
    <w:rsid w:val="004A7019"/>
    <w:rsid w:val="004B549B"/>
    <w:rsid w:val="004B64B7"/>
    <w:rsid w:val="004C4788"/>
    <w:rsid w:val="004D1E6E"/>
    <w:rsid w:val="004D4E2E"/>
    <w:rsid w:val="004F4B8E"/>
    <w:rsid w:val="004F5E3A"/>
    <w:rsid w:val="004F7686"/>
    <w:rsid w:val="00500303"/>
    <w:rsid w:val="0050178E"/>
    <w:rsid w:val="00511C29"/>
    <w:rsid w:val="00517708"/>
    <w:rsid w:val="005257AC"/>
    <w:rsid w:val="00526874"/>
    <w:rsid w:val="005305A4"/>
    <w:rsid w:val="00530AD7"/>
    <w:rsid w:val="00554097"/>
    <w:rsid w:val="00557ED5"/>
    <w:rsid w:val="005738B1"/>
    <w:rsid w:val="00575563"/>
    <w:rsid w:val="005A2FC7"/>
    <w:rsid w:val="005C6C7D"/>
    <w:rsid w:val="005D0C22"/>
    <w:rsid w:val="005D4B32"/>
    <w:rsid w:val="005D7E89"/>
    <w:rsid w:val="005E019A"/>
    <w:rsid w:val="005E478B"/>
    <w:rsid w:val="005E6343"/>
    <w:rsid w:val="005F3976"/>
    <w:rsid w:val="005F4339"/>
    <w:rsid w:val="00601180"/>
    <w:rsid w:val="006012F6"/>
    <w:rsid w:val="006304AC"/>
    <w:rsid w:val="0064092D"/>
    <w:rsid w:val="0064163A"/>
    <w:rsid w:val="00650C09"/>
    <w:rsid w:val="00651153"/>
    <w:rsid w:val="00655DDC"/>
    <w:rsid w:val="00662F65"/>
    <w:rsid w:val="00672E7B"/>
    <w:rsid w:val="00674263"/>
    <w:rsid w:val="006771C1"/>
    <w:rsid w:val="00681474"/>
    <w:rsid w:val="00693DBD"/>
    <w:rsid w:val="006A0A11"/>
    <w:rsid w:val="006A363E"/>
    <w:rsid w:val="006A60C8"/>
    <w:rsid w:val="006B175E"/>
    <w:rsid w:val="006B1EB9"/>
    <w:rsid w:val="006B2D2B"/>
    <w:rsid w:val="006B6147"/>
    <w:rsid w:val="006C21CA"/>
    <w:rsid w:val="006D32BB"/>
    <w:rsid w:val="006E52CC"/>
    <w:rsid w:val="006E721B"/>
    <w:rsid w:val="006F5E75"/>
    <w:rsid w:val="00700283"/>
    <w:rsid w:val="00705AE2"/>
    <w:rsid w:val="007117CB"/>
    <w:rsid w:val="00712AC5"/>
    <w:rsid w:val="0072147C"/>
    <w:rsid w:val="00724F44"/>
    <w:rsid w:val="0072640B"/>
    <w:rsid w:val="007414E7"/>
    <w:rsid w:val="0079404F"/>
    <w:rsid w:val="007A70D9"/>
    <w:rsid w:val="007B216F"/>
    <w:rsid w:val="007B67ED"/>
    <w:rsid w:val="007B72B3"/>
    <w:rsid w:val="007C5206"/>
    <w:rsid w:val="007D48B6"/>
    <w:rsid w:val="007E519E"/>
    <w:rsid w:val="007F6E15"/>
    <w:rsid w:val="00830A09"/>
    <w:rsid w:val="00837500"/>
    <w:rsid w:val="00840467"/>
    <w:rsid w:val="00841FDA"/>
    <w:rsid w:val="00846D6A"/>
    <w:rsid w:val="00850BE1"/>
    <w:rsid w:val="00860DDB"/>
    <w:rsid w:val="008623F8"/>
    <w:rsid w:val="00863487"/>
    <w:rsid w:val="00864375"/>
    <w:rsid w:val="008905C9"/>
    <w:rsid w:val="008A0874"/>
    <w:rsid w:val="008B5223"/>
    <w:rsid w:val="008D24AC"/>
    <w:rsid w:val="008D3E1A"/>
    <w:rsid w:val="008E132A"/>
    <w:rsid w:val="008E70C1"/>
    <w:rsid w:val="008F4531"/>
    <w:rsid w:val="008F4549"/>
    <w:rsid w:val="00914369"/>
    <w:rsid w:val="009508B5"/>
    <w:rsid w:val="009531C5"/>
    <w:rsid w:val="009549CE"/>
    <w:rsid w:val="00954D49"/>
    <w:rsid w:val="00974FD8"/>
    <w:rsid w:val="0097792C"/>
    <w:rsid w:val="00977FEB"/>
    <w:rsid w:val="009A152E"/>
    <w:rsid w:val="009D43D5"/>
    <w:rsid w:val="009D69B5"/>
    <w:rsid w:val="009E1290"/>
    <w:rsid w:val="009F2C4D"/>
    <w:rsid w:val="009F38D5"/>
    <w:rsid w:val="00A05949"/>
    <w:rsid w:val="00A234E5"/>
    <w:rsid w:val="00A343F5"/>
    <w:rsid w:val="00A37B92"/>
    <w:rsid w:val="00A405E1"/>
    <w:rsid w:val="00A4243E"/>
    <w:rsid w:val="00A500AF"/>
    <w:rsid w:val="00A93DA5"/>
    <w:rsid w:val="00A976D8"/>
    <w:rsid w:val="00AA2570"/>
    <w:rsid w:val="00AB38D0"/>
    <w:rsid w:val="00AC3744"/>
    <w:rsid w:val="00AC76B7"/>
    <w:rsid w:val="00AE7119"/>
    <w:rsid w:val="00AF0904"/>
    <w:rsid w:val="00AF496F"/>
    <w:rsid w:val="00AF5398"/>
    <w:rsid w:val="00AF5DFD"/>
    <w:rsid w:val="00B118CE"/>
    <w:rsid w:val="00B2395D"/>
    <w:rsid w:val="00B430BB"/>
    <w:rsid w:val="00B43776"/>
    <w:rsid w:val="00B741DC"/>
    <w:rsid w:val="00B9170B"/>
    <w:rsid w:val="00BA023A"/>
    <w:rsid w:val="00BB056A"/>
    <w:rsid w:val="00BB6C3D"/>
    <w:rsid w:val="00BD092B"/>
    <w:rsid w:val="00BD7249"/>
    <w:rsid w:val="00BD7A34"/>
    <w:rsid w:val="00BE5D73"/>
    <w:rsid w:val="00C11F56"/>
    <w:rsid w:val="00C16E12"/>
    <w:rsid w:val="00C256E6"/>
    <w:rsid w:val="00C443CE"/>
    <w:rsid w:val="00C446DE"/>
    <w:rsid w:val="00C51C7F"/>
    <w:rsid w:val="00C54881"/>
    <w:rsid w:val="00C56DFE"/>
    <w:rsid w:val="00C85153"/>
    <w:rsid w:val="00CA289B"/>
    <w:rsid w:val="00CA3F29"/>
    <w:rsid w:val="00CA4CD1"/>
    <w:rsid w:val="00CB695F"/>
    <w:rsid w:val="00CC0799"/>
    <w:rsid w:val="00CC690D"/>
    <w:rsid w:val="00CD56E0"/>
    <w:rsid w:val="00CD5A05"/>
    <w:rsid w:val="00CF0898"/>
    <w:rsid w:val="00CF441F"/>
    <w:rsid w:val="00CF4DA2"/>
    <w:rsid w:val="00CF5241"/>
    <w:rsid w:val="00D0408E"/>
    <w:rsid w:val="00D077CA"/>
    <w:rsid w:val="00D07A95"/>
    <w:rsid w:val="00D10F13"/>
    <w:rsid w:val="00D201DC"/>
    <w:rsid w:val="00D24424"/>
    <w:rsid w:val="00D26073"/>
    <w:rsid w:val="00D26FF4"/>
    <w:rsid w:val="00D343F2"/>
    <w:rsid w:val="00D34875"/>
    <w:rsid w:val="00D36786"/>
    <w:rsid w:val="00D41668"/>
    <w:rsid w:val="00D631E3"/>
    <w:rsid w:val="00D63416"/>
    <w:rsid w:val="00D6519D"/>
    <w:rsid w:val="00D702C6"/>
    <w:rsid w:val="00D73389"/>
    <w:rsid w:val="00D73D28"/>
    <w:rsid w:val="00D76025"/>
    <w:rsid w:val="00D80720"/>
    <w:rsid w:val="00D81C32"/>
    <w:rsid w:val="00D87759"/>
    <w:rsid w:val="00D97C4E"/>
    <w:rsid w:val="00DA1308"/>
    <w:rsid w:val="00DA6858"/>
    <w:rsid w:val="00DB3918"/>
    <w:rsid w:val="00DB7422"/>
    <w:rsid w:val="00DC0198"/>
    <w:rsid w:val="00DC09EB"/>
    <w:rsid w:val="00DC753F"/>
    <w:rsid w:val="00DD5AAC"/>
    <w:rsid w:val="00DF33F3"/>
    <w:rsid w:val="00E13F68"/>
    <w:rsid w:val="00E36BB4"/>
    <w:rsid w:val="00E42EC0"/>
    <w:rsid w:val="00E45E36"/>
    <w:rsid w:val="00E51EA9"/>
    <w:rsid w:val="00E81D65"/>
    <w:rsid w:val="00E83EEA"/>
    <w:rsid w:val="00EB54FA"/>
    <w:rsid w:val="00EB5FD8"/>
    <w:rsid w:val="00EC6B11"/>
    <w:rsid w:val="00EE6BDA"/>
    <w:rsid w:val="00EE7D3D"/>
    <w:rsid w:val="00EF1D3F"/>
    <w:rsid w:val="00EF7F1D"/>
    <w:rsid w:val="00F13AB8"/>
    <w:rsid w:val="00F15FF2"/>
    <w:rsid w:val="00F17909"/>
    <w:rsid w:val="00F54E1E"/>
    <w:rsid w:val="00F577A0"/>
    <w:rsid w:val="00F57810"/>
    <w:rsid w:val="00F721C9"/>
    <w:rsid w:val="00F8076F"/>
    <w:rsid w:val="00F858C3"/>
    <w:rsid w:val="00F97865"/>
    <w:rsid w:val="00FA5043"/>
    <w:rsid w:val="00FA789C"/>
    <w:rsid w:val="00FB2505"/>
    <w:rsid w:val="00FB6339"/>
    <w:rsid w:val="00FB66B9"/>
    <w:rsid w:val="00FC024C"/>
    <w:rsid w:val="00FC0AD8"/>
    <w:rsid w:val="00FD110A"/>
    <w:rsid w:val="00FD3FA6"/>
    <w:rsid w:val="00FD7B09"/>
    <w:rsid w:val="00FF2ED3"/>
    <w:rsid w:val="00FF7535"/>
    <w:rsid w:val="3B58006C"/>
    <w:rsid w:val="6F1F18D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2">
    <w:name w:val="Default Paragraph Font"/>
    <w:unhideWhenUsed/>
    <w:uiPriority w:val="1"/>
  </w:style>
  <w:style w:type="table" w:default="1" w:styleId="14">
    <w:name w:val="Normal Table"/>
    <w:unhideWhenUsed/>
    <w:qFormat/>
    <w:uiPriority w:val="99"/>
    <w:tblPr>
      <w:tblStyle w:val="14"/>
      <w:tblLayout w:type="fixed"/>
      <w:tblCellMar>
        <w:top w:w="0" w:type="dxa"/>
        <w:left w:w="108" w:type="dxa"/>
        <w:bottom w:w="0" w:type="dxa"/>
        <w:right w:w="108" w:type="dxa"/>
      </w:tblCellMar>
    </w:tblPr>
    <w:tcPr>
      <w:textDirection w:val="lrTb"/>
    </w:tcPr>
  </w:style>
  <w:style w:type="paragraph" w:styleId="2">
    <w:name w:val="Body Text"/>
    <w:basedOn w:val="1"/>
    <w:uiPriority w:val="0"/>
    <w:rPr>
      <w:szCs w:val="24"/>
    </w:rPr>
  </w:style>
  <w:style w:type="paragraph" w:styleId="3">
    <w:name w:val="Body Text Indent"/>
    <w:basedOn w:val="1"/>
    <w:uiPriority w:val="0"/>
    <w:pPr>
      <w:ind w:firstLine="600" w:firstLineChars="200"/>
    </w:pPr>
    <w:rPr>
      <w:rFonts w:eastAsia="宋体"/>
      <w:bCs/>
      <w:sz w:val="30"/>
      <w:szCs w:val="24"/>
    </w:rPr>
  </w:style>
  <w:style w:type="paragraph" w:styleId="4">
    <w:name w:val="Plain Text"/>
    <w:basedOn w:val="1"/>
    <w:uiPriority w:val="0"/>
    <w:rPr>
      <w:rFonts w:ascii="宋体" w:hAnsi="Courier New" w:eastAsia="宋体" w:cs="Courier New"/>
      <w:sz w:val="21"/>
      <w:szCs w:val="21"/>
    </w:rPr>
  </w:style>
  <w:style w:type="paragraph" w:styleId="5">
    <w:name w:val="Date"/>
    <w:basedOn w:val="1"/>
    <w:next w:val="1"/>
    <w:uiPriority w:val="0"/>
    <w:rPr>
      <w:rFonts w:ascii="宋体" w:eastAsia="宋体"/>
      <w:sz w:val="28"/>
    </w:rPr>
  </w:style>
  <w:style w:type="paragraph" w:styleId="6">
    <w:name w:val="Body Text Indent 2"/>
    <w:basedOn w:val="1"/>
    <w:uiPriority w:val="0"/>
    <w:pPr>
      <w:spacing w:line="500" w:lineRule="exact"/>
      <w:ind w:firstLine="560" w:firstLineChars="200"/>
      <w:outlineLvl w:val="0"/>
    </w:pPr>
    <w:rPr>
      <w:bCs/>
      <w:sz w:val="28"/>
      <w:szCs w:val="36"/>
    </w:r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bottom w:val="single" w:color="auto" w:sz="6" w:space="1"/>
      </w:pBdr>
      <w:tabs>
        <w:tab w:val="center" w:pos="4153"/>
        <w:tab w:val="right" w:pos="8306"/>
      </w:tabs>
      <w:snapToGrid w:val="0"/>
      <w:jc w:val="center"/>
    </w:pPr>
    <w:rPr>
      <w:sz w:val="18"/>
    </w:rPr>
  </w:style>
  <w:style w:type="paragraph" w:styleId="10">
    <w:name w:val="Body Text Indent 3"/>
    <w:basedOn w:val="1"/>
    <w:uiPriority w:val="0"/>
    <w:pPr>
      <w:spacing w:line="560" w:lineRule="exact"/>
      <w:ind w:firstLine="615"/>
    </w:pPr>
  </w:style>
  <w:style w:type="paragraph" w:styleId="11">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13">
    <w:name w:val="page number"/>
    <w:basedOn w:val="12"/>
    <w:uiPriority w:val="0"/>
    <w:rPr/>
  </w:style>
  <w:style w:type="table" w:styleId="15">
    <w:name w:val="Table Grid"/>
    <w:basedOn w:val="14"/>
    <w:uiPriority w:val="0"/>
    <w:pPr>
      <w:widowControl w:val="0"/>
      <w:jc w:val="both"/>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6">
    <w:name w:val="style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Char1 Char Char Char Char Char Char Char Char Char Char Char Char Char Char Char Char Char Char"/>
    <w:basedOn w:val="1"/>
    <w:uiPriority w:val="0"/>
    <w:pPr>
      <w:widowControl/>
      <w:spacing w:after="160" w:line="240" w:lineRule="exact"/>
      <w:jc w:val="left"/>
    </w:pPr>
    <w:rPr>
      <w:rFonts w:eastAsia="宋体"/>
      <w:sz w:val="21"/>
    </w:rPr>
  </w:style>
  <w:style w:type="character" w:customStyle="1" w:styleId="18">
    <w:name w:val="apple-style-span"/>
    <w:basedOn w:val="12"/>
    <w:uiPriority w:val="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607\AppData\Roaming\Microsoft\Templates\&#20989;&#202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函件</Template>
  <Company>湖北省教育厅</Company>
  <Pages>7</Pages>
  <Words>473</Words>
  <Characters>2699</Characters>
  <Lines>22</Lines>
  <Paragraphs>6</Paragraphs>
  <TotalTime>0</TotalTime>
  <ScaleCrop>false</ScaleCrop>
  <LinksUpToDate>false</LinksUpToDate>
  <CharactersWithSpaces>0</CharactersWithSpaces>
  <Application>WPS Office_9.1.0.5132_F1E327BC-269C-435d-A152-05C5408002CA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2015-07-09T09:37:00Z</dcterms:created>
  <dc:creator>文印室</dc:creator>
  <cp:lastModifiedBy>Administrator</cp:lastModifiedBy>
  <cp:lastPrinted>2015-07-20T04:37:54Z</cp:lastPrinted>
  <dcterms:modified xsi:type="dcterms:W3CDTF">2015-07-20T09:28:45Z</dcterms:modified>
  <dc:title>鄂教〔2001〕2号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